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E3107D" w14:textId="77777777" w:rsidR="00EC1495" w:rsidRPr="000577AE" w:rsidRDefault="00EC149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C1495" w:rsidRPr="000577AE" w14:paraId="54AE9D7C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2FC50A4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C1495" w:rsidRPr="000577AE" w14:paraId="249EC75E" w14:textId="77777777">
        <w:trPr>
          <w:trHeight w:val="290"/>
        </w:trPr>
        <w:tc>
          <w:tcPr>
            <w:tcW w:w="5167" w:type="dxa"/>
          </w:tcPr>
          <w:p w14:paraId="49DC8C44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FDEDF6" w14:textId="77777777" w:rsidR="00EC1495" w:rsidRPr="000577AE" w:rsidRDefault="00000000">
            <w:pPr>
              <w:rPr>
                <w:rFonts w:ascii="Arial" w:hAnsi="Arial" w:cs="Arial"/>
                <w:color w:val="0000FF"/>
                <w:sz w:val="20"/>
                <w:szCs w:val="20"/>
              </w:rPr>
            </w:pPr>
            <w:hyperlink r:id="rId8">
              <w:r w:rsidRPr="000577AE">
                <w:rPr>
                  <w:rFonts w:ascii="Arial" w:hAnsi="Arial" w:cs="Arial"/>
                  <w:b/>
                  <w:color w:val="0000FF"/>
                  <w:sz w:val="20"/>
                  <w:szCs w:val="20"/>
                  <w:u w:val="single"/>
                </w:rPr>
                <w:t>Asian Research Journal of Arts &amp; Social Sciences</w:t>
              </w:r>
            </w:hyperlink>
            <w:r w:rsidRPr="000577AE">
              <w:rPr>
                <w:rFonts w:ascii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EC1495" w:rsidRPr="000577AE" w14:paraId="3272BCC9" w14:textId="77777777">
        <w:trPr>
          <w:trHeight w:val="290"/>
        </w:trPr>
        <w:tc>
          <w:tcPr>
            <w:tcW w:w="5167" w:type="dxa"/>
          </w:tcPr>
          <w:p w14:paraId="7A53222F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535863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Ms_ARJASS_147512</w:t>
            </w:r>
          </w:p>
        </w:tc>
      </w:tr>
      <w:tr w:rsidR="00EC1495" w:rsidRPr="000577AE" w14:paraId="77C52B78" w14:textId="77777777">
        <w:trPr>
          <w:trHeight w:val="650"/>
        </w:trPr>
        <w:tc>
          <w:tcPr>
            <w:tcW w:w="5167" w:type="dxa"/>
          </w:tcPr>
          <w:p w14:paraId="76C1374B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33500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Comparative Effects of Physical Activity and Relaxation Music on Blood Pressure Responses in Young Adults</w:t>
            </w:r>
          </w:p>
        </w:tc>
      </w:tr>
      <w:tr w:rsidR="00EC1495" w:rsidRPr="000577AE" w14:paraId="27AA9094" w14:textId="77777777">
        <w:trPr>
          <w:trHeight w:val="332"/>
        </w:trPr>
        <w:tc>
          <w:tcPr>
            <w:tcW w:w="5167" w:type="dxa"/>
          </w:tcPr>
          <w:p w14:paraId="62219F24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E30E5B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5579373C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648DEDA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0" w:name="_heading=h.syi9x7bajtja" w:colFirst="0" w:colLast="0"/>
      <w:bookmarkEnd w:id="0"/>
    </w:p>
    <w:p w14:paraId="549A13CE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35F6B209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418C1D5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  <w:bookmarkStart w:id="1" w:name="_heading=h.f9qmn1eezc02" w:colFirst="0" w:colLast="0"/>
      <w:bookmarkEnd w:id="1"/>
    </w:p>
    <w:p w14:paraId="54D0FBEB" w14:textId="77777777" w:rsidR="00EC1495" w:rsidRPr="000577AE" w:rsidRDefault="00000000">
      <w:pPr>
        <w:rPr>
          <w:rFonts w:ascii="Arial" w:hAnsi="Arial" w:cs="Arial"/>
          <w:sz w:val="20"/>
          <w:szCs w:val="20"/>
        </w:rPr>
      </w:pPr>
      <w:r w:rsidRPr="000577AE">
        <w:rPr>
          <w:rFonts w:ascii="Arial" w:hAnsi="Arial" w:cs="Arial"/>
          <w:sz w:val="20"/>
          <w:szCs w:val="20"/>
        </w:rPr>
        <w:br w:type="page"/>
      </w: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C1495" w:rsidRPr="000577AE" w14:paraId="2E64DC3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05D43A7" w14:textId="77777777" w:rsidR="00EC1495" w:rsidRPr="000577AE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577AE">
              <w:rPr>
                <w:rFonts w:ascii="Arial" w:eastAsia="Times New Roman" w:hAnsi="Arial" w:cs="Arial"/>
                <w:highlight w:val="yellow"/>
              </w:rPr>
              <w:lastRenderedPageBreak/>
              <w:t>PART  1:</w:t>
            </w:r>
            <w:r w:rsidRPr="000577AE">
              <w:rPr>
                <w:rFonts w:ascii="Arial" w:eastAsia="Times New Roman" w:hAnsi="Arial" w:cs="Arial"/>
              </w:rPr>
              <w:t xml:space="preserve"> Comments</w:t>
            </w:r>
          </w:p>
          <w:p w14:paraId="44F96357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C1495" w:rsidRPr="000577AE" w14:paraId="52BB3427" w14:textId="77777777">
        <w:tc>
          <w:tcPr>
            <w:tcW w:w="5351" w:type="dxa"/>
          </w:tcPr>
          <w:p w14:paraId="6E6215FB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43F227C2" w14:textId="77777777" w:rsidR="00EC1495" w:rsidRPr="000577AE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577AE">
              <w:rPr>
                <w:rFonts w:ascii="Arial" w:eastAsia="Times New Roman" w:hAnsi="Arial" w:cs="Arial"/>
              </w:rPr>
              <w:t>Reviewer’s comment</w:t>
            </w:r>
          </w:p>
          <w:p w14:paraId="3BEC14C5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AE5947E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47E9831" w14:textId="77777777" w:rsidR="00EC1495" w:rsidRPr="000577AE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0577A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7A1515E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C1495" w:rsidRPr="000577AE" w14:paraId="5FF098C6" w14:textId="77777777">
        <w:trPr>
          <w:trHeight w:val="1264"/>
        </w:trPr>
        <w:tc>
          <w:tcPr>
            <w:tcW w:w="5351" w:type="dxa"/>
          </w:tcPr>
          <w:p w14:paraId="72CC8E10" w14:textId="77777777" w:rsidR="00EC1495" w:rsidRPr="000577A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C72EA1C" w14:textId="77777777" w:rsidR="00EC1495" w:rsidRPr="000577AE" w:rsidRDefault="00EC149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F8BF609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This study explores two practical, non-pharmacological strategies—post-activity music (phone vs live) and passive rest—for acute blood pressure (BP) regulation in young adults, a group increasingly exposed to lifestyle-related cardiovascular risks. Using a within-subject design with 30 college students, it reports that both phone-delivered and live music significantly reduce systolic and diastolic BP after physical activity, with phone music showing the largest effect. The work contributes applied evidence to a relatively under-studied demographic and highlights a delivery-mode effect with implications for scalable, low-cost interventions in campus and community settings. Its findings can inform future pragmatic trials and implementation in student health programs.</w:t>
            </w:r>
          </w:p>
        </w:tc>
        <w:tc>
          <w:tcPr>
            <w:tcW w:w="6442" w:type="dxa"/>
          </w:tcPr>
          <w:p w14:paraId="476A8425" w14:textId="77777777" w:rsidR="00EC1495" w:rsidRPr="000577AE" w:rsidRDefault="00000000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wf1t0v7v1v3j" w:colFirst="0" w:colLast="0"/>
            <w:bookmarkEnd w:id="2"/>
            <w:r w:rsidRPr="000577AE">
              <w:rPr>
                <w:rFonts w:ascii="Arial" w:eastAsia="Times New Roman" w:hAnsi="Arial" w:cs="Arial"/>
                <w:b w:val="0"/>
              </w:rPr>
              <w:t>The abstract now explicitly mentions primary outcomes (systolic/diastolic BP), measurement timing (e.g., at minute 15 post-activity), and sample size (N=30).</w:t>
            </w:r>
          </w:p>
          <w:p w14:paraId="5C5C6737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C1495" w:rsidRPr="000577AE" w14:paraId="22745C03" w14:textId="77777777">
        <w:trPr>
          <w:trHeight w:val="1262"/>
        </w:trPr>
        <w:tc>
          <w:tcPr>
            <w:tcW w:w="5351" w:type="dxa"/>
          </w:tcPr>
          <w:p w14:paraId="2C21BE12" w14:textId="77777777" w:rsidR="00EC1495" w:rsidRPr="000577A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5857FB9" w14:textId="77777777" w:rsidR="00EC1495" w:rsidRPr="000577A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0D81A51E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1A81942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sz w:val="20"/>
                <w:szCs w:val="20"/>
              </w:rPr>
              <w:t>Current title is clear and accurate. Optional alternative for precision:</w:t>
            </w:r>
            <w:r w:rsidRPr="000577AE">
              <w:rPr>
                <w:rFonts w:ascii="Arial" w:hAnsi="Arial" w:cs="Arial"/>
                <w:sz w:val="20"/>
                <w:szCs w:val="20"/>
              </w:rPr>
              <w:br/>
              <w:t>“Acute Effects of Post-Activity Phone vs Live Relaxation Music on Blood Pressure Recovery in Young Adults: A Within-Subject Comparison”.</w:t>
            </w:r>
          </w:p>
        </w:tc>
        <w:tc>
          <w:tcPr>
            <w:tcW w:w="6442" w:type="dxa"/>
          </w:tcPr>
          <w:p w14:paraId="68DDDD01" w14:textId="77777777" w:rsidR="00EC1495" w:rsidRPr="000577A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577AE">
              <w:rPr>
                <w:rFonts w:ascii="Arial" w:eastAsia="Times New Roman" w:hAnsi="Arial" w:cs="Arial"/>
                <w:b w:val="0"/>
              </w:rPr>
              <w:t>We retain the original title for clarity but appreciate the suggested alternative for precision</w:t>
            </w:r>
          </w:p>
        </w:tc>
      </w:tr>
      <w:tr w:rsidR="00EC1495" w:rsidRPr="000577AE" w14:paraId="1A646389" w14:textId="77777777">
        <w:trPr>
          <w:trHeight w:val="1262"/>
        </w:trPr>
        <w:tc>
          <w:tcPr>
            <w:tcW w:w="5351" w:type="dxa"/>
          </w:tcPr>
          <w:p w14:paraId="64FAA11A" w14:textId="77777777" w:rsidR="00EC1495" w:rsidRPr="000577AE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577AE">
              <w:rPr>
                <w:rFonts w:ascii="Arial" w:eastAsia="Times New Roman" w:hAnsi="Arial" w:cs="Arial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7E033D41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D51EC82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sz w:val="20"/>
                <w:szCs w:val="20"/>
              </w:rPr>
              <w:t>The abstract states rationale, design, sample (N=30), conditions, and main findings. Consider: (</w:t>
            </w:r>
            <w:proofErr w:type="spellStart"/>
            <w:r w:rsidRPr="000577AE">
              <w:rPr>
                <w:rFonts w:ascii="Arial" w:hAnsi="Arial" w:cs="Arial"/>
                <w:sz w:val="20"/>
                <w:szCs w:val="20"/>
              </w:rPr>
              <w:t>i</w:t>
            </w:r>
            <w:proofErr w:type="spellEnd"/>
            <w:r w:rsidRPr="000577AE">
              <w:rPr>
                <w:rFonts w:ascii="Arial" w:hAnsi="Arial" w:cs="Arial"/>
                <w:sz w:val="20"/>
                <w:szCs w:val="20"/>
              </w:rPr>
              <w:t>) explicitly stating primary outcomes (systolic/diastolic BP) and the measurement timing window; (ii) reporting actual effect sizes (mean Δ mmHg with SD/95% CI) alongside p-values; (iii) clarifying randomization/counterbalancing of condition order; and (iv) briefly noting limitations (short follow-up; modest sample).</w:t>
            </w:r>
          </w:p>
        </w:tc>
        <w:tc>
          <w:tcPr>
            <w:tcW w:w="6442" w:type="dxa"/>
          </w:tcPr>
          <w:p w14:paraId="2AEB27D8" w14:textId="77777777" w:rsidR="00EC1495" w:rsidRPr="000577AE" w:rsidRDefault="00000000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sn9pquvos64a" w:colFirst="0" w:colLast="0"/>
            <w:bookmarkEnd w:id="3"/>
            <w:r w:rsidRPr="000577AE">
              <w:rPr>
                <w:rFonts w:ascii="Arial" w:eastAsia="Times New Roman" w:hAnsi="Arial" w:cs="Arial"/>
                <w:b w:val="0"/>
              </w:rPr>
              <w:t>We have verified the reported t-statistics and updated them with accurate figures.</w:t>
            </w:r>
          </w:p>
        </w:tc>
      </w:tr>
      <w:tr w:rsidR="00EC1495" w:rsidRPr="000577AE" w14:paraId="2A0B58E5" w14:textId="77777777">
        <w:trPr>
          <w:trHeight w:val="7235"/>
        </w:trPr>
        <w:tc>
          <w:tcPr>
            <w:tcW w:w="5351" w:type="dxa"/>
          </w:tcPr>
          <w:p w14:paraId="184B3EFC" w14:textId="77777777" w:rsidR="00EC1495" w:rsidRPr="000577AE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  <w:b w:val="0"/>
                <w:u w:val="single"/>
              </w:rPr>
            </w:pPr>
            <w:r w:rsidRPr="000577AE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9BC1693" w14:textId="77777777" w:rsidR="00EC1495" w:rsidRPr="000577AE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Strengths: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Within-subject design reduces inter-individual variability; standardized BP device/protocol; direct comparison of two music delivery modes after activity; clear practical question.</w:t>
            </w:r>
          </w:p>
          <w:p w14:paraId="5FBAD4C0" w14:textId="77777777" w:rsidR="00EC1495" w:rsidRPr="000577AE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Issues to address:</w:t>
            </w:r>
          </w:p>
          <w:p w14:paraId="1D80B14E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Statistical reporting: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Results section reports very large t-statistics (e.g., ±60+) that are implausible for N=30 in typical BP data; please verify the test used, the units, and provide descriptive statistics (means, SDs) and effect sizes (Cohen’s </w:t>
            </w:r>
            <w:r w:rsidRPr="000577AE">
              <w:rPr>
                <w:rFonts w:ascii="Arial" w:hAnsi="Arial" w:cs="Arial"/>
                <w:i/>
                <w:color w:val="000000"/>
                <w:sz w:val="20"/>
                <w:szCs w:val="20"/>
              </w:rPr>
              <w:t>d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) per contrast. Consider repeated-measures ANOVA/linear mixed model with condition as a factor rather than many paired </w:t>
            </w:r>
            <w:r w:rsidRPr="000577AE">
              <w:rPr>
                <w:rFonts w:ascii="Arial" w:hAnsi="Arial" w:cs="Arial"/>
                <w:i/>
                <w:color w:val="000000"/>
                <w:sz w:val="20"/>
                <w:szCs w:val="20"/>
              </w:rPr>
              <w:t>t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tests, with post-hoc corrections.</w:t>
            </w:r>
          </w:p>
          <w:p w14:paraId="6D1EB1DC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Design clarity: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Specify activity intensity/dose (type, HR targets, RPE), music characteristics (tempo/BPM, genre, SPL/dBA, duration), and live-music standardization (performer, repertoire, environment), as these moderate autonomic responses.</w:t>
            </w:r>
          </w:p>
          <w:p w14:paraId="4D9A2B6C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Order &amp; carryover: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State randomization scheme and any washout between conditions; consider reporting Mauchly’s test/sphericity (if RM-ANOVA) or using LMM.</w:t>
            </w:r>
          </w:p>
          <w:p w14:paraId="2E80BAA8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Baseline control: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Clarify whether pre-condition BP differed by session and whether values were baseline-adjusted.</w:t>
            </w:r>
          </w:p>
          <w:p w14:paraId="1B859281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Outcome timing: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Define exact post-activity measurement timing (e.g., minute 15) and whether multiple time-points were captured.</w:t>
            </w:r>
          </w:p>
          <w:p w14:paraId="6E521FAC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Power: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Provide an a priori or post-hoc power analysis to justify N=30 for expected ΔBP.</w:t>
            </w:r>
          </w:p>
          <w:p w14:paraId="5F960E41" w14:textId="77777777" w:rsidR="00EC1495" w:rsidRPr="000577A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Interpretation: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Avoid causal language beyond the experimental scope; discuss plausible mechanisms (parasympathetic reactivation, reduced sympathetic arousal) cautiously and align them with measured variables.</w:t>
            </w:r>
          </w:p>
          <w:p w14:paraId="1AADCEB9" w14:textId="77777777" w:rsidR="00EC1495" w:rsidRPr="000577AE" w:rsidRDefault="00EC1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8E05365" w14:textId="77777777" w:rsidR="00EC1495" w:rsidRPr="000577AE" w:rsidRDefault="00000000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r w:rsidRPr="000577AE">
              <w:rPr>
                <w:rFonts w:ascii="Arial" w:eastAsia="Times New Roman" w:hAnsi="Arial" w:cs="Arial"/>
                <w:b w:val="0"/>
              </w:rPr>
              <w:t>Details on randomization, session order, and washout periods are included.</w:t>
            </w:r>
          </w:p>
          <w:p w14:paraId="70EC0867" w14:textId="77777777" w:rsidR="00EC1495" w:rsidRPr="000577AE" w:rsidRDefault="00000000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96p40p2y1cz9" w:colFirst="0" w:colLast="0"/>
            <w:bookmarkEnd w:id="4"/>
            <w:r w:rsidRPr="000577AE">
              <w:rPr>
                <w:rFonts w:ascii="Arial" w:eastAsia="Times New Roman" w:hAnsi="Arial" w:cs="Arial"/>
                <w:b w:val="0"/>
              </w:rPr>
              <w:t>Baseline control procedures and session-to-session differences are clarified.</w:t>
            </w:r>
          </w:p>
        </w:tc>
      </w:tr>
      <w:tr w:rsidR="00EC1495" w:rsidRPr="000577AE" w14:paraId="0F72EA25" w14:textId="77777777">
        <w:trPr>
          <w:trHeight w:val="703"/>
        </w:trPr>
        <w:tc>
          <w:tcPr>
            <w:tcW w:w="5351" w:type="dxa"/>
          </w:tcPr>
          <w:p w14:paraId="105E1E3D" w14:textId="77777777" w:rsidR="00EC1495" w:rsidRPr="000577A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5BAC3DC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manuscript cites foundational and recent works, but coverage of </w:t>
            </w: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young-adult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populations and </w:t>
            </w:r>
            <w:r w:rsidRPr="000577AE">
              <w:rPr>
                <w:rFonts w:ascii="Arial" w:hAnsi="Arial" w:cs="Arial"/>
                <w:b/>
                <w:color w:val="000000"/>
                <w:sz w:val="20"/>
                <w:szCs w:val="20"/>
              </w:rPr>
              <w:t>delivery-mode</w:t>
            </w: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 effects could be strengthened. Please add: (a) recent RCTs/meta-analyses on music’s acute BP effects in non-clinical/young samples; (b) guidance on BP recovery measurement post-exercise and autonomic markers in youth; (c) reporting standards for music interventions (tempo, SPL, genre, preference). Ensure all references directly support claims in the Introduction/Literature Review and prune protocol/editorials that don’t add primary evidence. </w:t>
            </w:r>
          </w:p>
          <w:p w14:paraId="68F87D27" w14:textId="77777777" w:rsidR="00EC1495" w:rsidRPr="000577AE" w:rsidRDefault="00EC1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FE61DC8" w14:textId="77777777" w:rsidR="00EC1495" w:rsidRPr="000577AE" w:rsidRDefault="00000000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r w:rsidRPr="000577AE">
              <w:rPr>
                <w:rFonts w:ascii="Arial" w:eastAsia="Times New Roman" w:hAnsi="Arial" w:cs="Arial"/>
                <w:b w:val="0"/>
              </w:rPr>
              <w:t>New literature is cited, including recent RCTs/meta-analyses in young adults and reporting standards for music interventions.</w:t>
            </w:r>
          </w:p>
          <w:p w14:paraId="5A11489D" w14:textId="77777777" w:rsidR="00EC1495" w:rsidRPr="000577AE" w:rsidRDefault="00EC1495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bookmarkStart w:id="5" w:name="_heading=h.71xk5aonpr3f" w:colFirst="0" w:colLast="0"/>
            <w:bookmarkEnd w:id="5"/>
          </w:p>
          <w:p w14:paraId="641B8966" w14:textId="77777777" w:rsidR="00EC1495" w:rsidRPr="000577AE" w:rsidRDefault="00EC1495">
            <w:pPr>
              <w:pStyle w:val="Heading2"/>
              <w:spacing w:before="180" w:after="180"/>
              <w:jc w:val="left"/>
              <w:rPr>
                <w:rFonts w:ascii="Arial" w:eastAsia="Times New Roman" w:hAnsi="Arial" w:cs="Arial"/>
                <w:b w:val="0"/>
              </w:rPr>
            </w:pPr>
            <w:bookmarkStart w:id="6" w:name="_heading=h.b0x1y7l3qs65" w:colFirst="0" w:colLast="0"/>
            <w:bookmarkEnd w:id="6"/>
          </w:p>
        </w:tc>
      </w:tr>
      <w:tr w:rsidR="00EC1495" w:rsidRPr="000577AE" w14:paraId="4BAAA734" w14:textId="77777777">
        <w:trPr>
          <w:trHeight w:val="386"/>
        </w:trPr>
        <w:tc>
          <w:tcPr>
            <w:tcW w:w="5351" w:type="dxa"/>
          </w:tcPr>
          <w:p w14:paraId="468D49FC" w14:textId="77777777" w:rsidR="00EC1495" w:rsidRPr="000577AE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577AE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355C1965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9471128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sz w:val="20"/>
                <w:szCs w:val="20"/>
              </w:rPr>
              <w:t>Overall readable and academic. Recommended edits: reduce repetition in the Introduction, tighten long sentences, harmonize tense, and check terminology (e.g., “post-activity passive rest” vs “silent rest”) for consistency. A light language edit will improve flow.</w:t>
            </w:r>
          </w:p>
        </w:tc>
        <w:tc>
          <w:tcPr>
            <w:tcW w:w="6442" w:type="dxa"/>
          </w:tcPr>
          <w:p w14:paraId="266A00BA" w14:textId="77777777" w:rsidR="00EC1495" w:rsidRPr="000577AE" w:rsidRDefault="00000000">
            <w:pPr>
              <w:spacing w:before="180" w:after="18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sz w:val="20"/>
                <w:szCs w:val="20"/>
              </w:rPr>
              <w:t>The discussion avoids causal overstatement, relates physiological mechanisms to measured outcomes, and incorporates parasympathetic/sympathetic markers from recent literature.</w:t>
            </w:r>
          </w:p>
        </w:tc>
      </w:tr>
      <w:tr w:rsidR="00EC1495" w:rsidRPr="000577AE" w14:paraId="1AC0E0A3" w14:textId="77777777">
        <w:trPr>
          <w:trHeight w:val="1178"/>
        </w:trPr>
        <w:tc>
          <w:tcPr>
            <w:tcW w:w="5351" w:type="dxa"/>
          </w:tcPr>
          <w:p w14:paraId="6CDD423D" w14:textId="77777777" w:rsidR="00EC1495" w:rsidRPr="000577A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577AE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577AE">
              <w:rPr>
                <w:rFonts w:ascii="Arial" w:eastAsia="Times New Roman" w:hAnsi="Arial" w:cs="Arial"/>
              </w:rPr>
              <w:t xml:space="preserve"> </w:t>
            </w:r>
            <w:r w:rsidRPr="000577AE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7F4321E1" w14:textId="77777777" w:rsidR="00EC1495" w:rsidRPr="000577AE" w:rsidRDefault="00EC149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4D77C187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- Add a concise Table 1 with sample characteristics (age, sex, BMI, resting BP, activity habits).</w:t>
            </w:r>
          </w:p>
          <w:p w14:paraId="06483D93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- Provide a CONSORT-style diagram (adapted for within-subject studies) for recruitment and exclusions.</w:t>
            </w:r>
          </w:p>
          <w:p w14:paraId="1C6EE89A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>-  Include a figure of mean (±SE) BP across conditions with individual spaghetti lines to show within-person change.</w:t>
            </w:r>
          </w:p>
          <w:p w14:paraId="65DE1843" w14:textId="77777777" w:rsidR="00EC1495" w:rsidRPr="000577A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577AE">
              <w:rPr>
                <w:rFonts w:ascii="Arial" w:hAnsi="Arial" w:cs="Arial"/>
                <w:color w:val="000000"/>
                <w:sz w:val="20"/>
                <w:szCs w:val="20"/>
              </w:rPr>
              <w:t xml:space="preserve">-  Discuss implementation (e.g., headphone hygiene, preferred playlists, quiet rooms) for campus roll-out. </w:t>
            </w:r>
          </w:p>
          <w:p w14:paraId="1455A4A6" w14:textId="77777777" w:rsidR="00EC1495" w:rsidRPr="000577AE" w:rsidRDefault="00EC1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49A33C5" w14:textId="77777777" w:rsidR="00EC1495" w:rsidRPr="000577AE" w:rsidRDefault="00000000">
            <w:pPr>
              <w:spacing w:before="180" w:after="180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sz w:val="20"/>
                <w:szCs w:val="20"/>
              </w:rPr>
              <w:t>Table 1 with sample characteristics (age, sex, BMI, resting BP, activity habits) is included.</w:t>
            </w:r>
          </w:p>
        </w:tc>
      </w:tr>
    </w:tbl>
    <w:p w14:paraId="74769F69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5CE62F4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9B6DC04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7237A31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713837E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A83C83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B2628DB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1FA4D65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A7814D9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BC4BE05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5BAA2F4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7" w:name="_heading=h.rd806ahligtx" w:colFirst="0" w:colLast="0"/>
      <w:bookmarkEnd w:id="7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EC1495" w:rsidRPr="000577AE" w14:paraId="582362E0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0A3C03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0577AE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7AD22F8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EC1495" w:rsidRPr="000577AE" w14:paraId="20E4AF18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9522F5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B0D4F" w14:textId="77777777" w:rsidR="00EC1495" w:rsidRPr="000577A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29EA76A7" w14:textId="77777777" w:rsidR="00EC1495" w:rsidRPr="000577AE" w:rsidRDefault="00000000">
            <w:pPr>
              <w:spacing w:after="160" w:line="252" w:lineRule="auto"/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0577A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2D6AE2D" w14:textId="77777777" w:rsidR="00EC1495" w:rsidRPr="000577AE" w:rsidRDefault="00EC1495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C1495" w:rsidRPr="000577AE" w14:paraId="426EBA2E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DEEC9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577AE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75E37F0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94BE65" w14:textId="77777777" w:rsidR="00EC1495" w:rsidRPr="000577AE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577AE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577AE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0577AE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2958E01F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9AD078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3B3C7B63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565F1B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8B55FD" w14:textId="77777777" w:rsidR="00EC1495" w:rsidRPr="000577AE" w:rsidRDefault="00EC149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CE94683" w14:textId="77777777" w:rsidR="00EC1495" w:rsidRPr="000577AE" w:rsidRDefault="00EC1495">
      <w:pPr>
        <w:rPr>
          <w:rFonts w:ascii="Arial" w:hAnsi="Arial" w:cs="Arial"/>
          <w:sz w:val="20"/>
          <w:szCs w:val="20"/>
        </w:rPr>
      </w:pPr>
    </w:p>
    <w:p w14:paraId="0C42D43A" w14:textId="77777777" w:rsidR="00EC1495" w:rsidRPr="000577AE" w:rsidRDefault="00EC1495">
      <w:pPr>
        <w:rPr>
          <w:rFonts w:ascii="Arial" w:hAnsi="Arial" w:cs="Arial"/>
          <w:sz w:val="20"/>
          <w:szCs w:val="20"/>
        </w:rPr>
      </w:pPr>
    </w:p>
    <w:p w14:paraId="7AD4773B" w14:textId="77777777" w:rsidR="00EC1495" w:rsidRPr="000577AE" w:rsidRDefault="00EC1495">
      <w:pPr>
        <w:rPr>
          <w:rFonts w:ascii="Arial" w:hAnsi="Arial" w:cs="Arial"/>
          <w:sz w:val="20"/>
          <w:szCs w:val="20"/>
          <w:u w:val="single"/>
        </w:rPr>
      </w:pPr>
    </w:p>
    <w:p w14:paraId="43EEFB2F" w14:textId="77777777" w:rsidR="00EC1495" w:rsidRPr="000577AE" w:rsidRDefault="00EC1495">
      <w:pPr>
        <w:rPr>
          <w:rFonts w:ascii="Arial" w:hAnsi="Arial" w:cs="Arial"/>
          <w:sz w:val="20"/>
          <w:szCs w:val="20"/>
        </w:rPr>
      </w:pPr>
    </w:p>
    <w:p w14:paraId="42271184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6FD7CDD1" w14:textId="77777777" w:rsidR="00EC1495" w:rsidRPr="000577AE" w:rsidRDefault="00EC1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sectPr w:rsidR="00EC1495" w:rsidRPr="000577AE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16BE7" w14:textId="77777777" w:rsidR="00A5558C" w:rsidRDefault="00A5558C">
      <w:r>
        <w:separator/>
      </w:r>
    </w:p>
  </w:endnote>
  <w:endnote w:type="continuationSeparator" w:id="0">
    <w:p w14:paraId="145B9326" w14:textId="77777777" w:rsidR="00A5558C" w:rsidRDefault="00A55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931AF6D-8A25-45D5-A4A2-8C65A722B6BE}"/>
  </w:font>
  <w:font w:name="Helvetica Neue">
    <w:charset w:val="00"/>
    <w:family w:val="auto"/>
    <w:pitch w:val="default"/>
    <w:embedRegular r:id="rId2" w:fontKey="{F3666BCF-56FB-44B3-B638-E7F2F4C09C5F}"/>
    <w:embedBold r:id="rId3" w:fontKey="{6A700E02-3BC9-494D-919B-294ED79EC719}"/>
  </w:font>
  <w:font w:name="Arimo">
    <w:charset w:val="00"/>
    <w:family w:val="auto"/>
    <w:pitch w:val="default"/>
    <w:embedRegular r:id="rId4" w:fontKey="{AECAC427-2E31-46A6-B42F-2F3478D96DBA}"/>
    <w:embedBold r:id="rId5" w:fontKey="{9072FF60-3B18-4C7B-88C4-154E5D6E6EDD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C0CA015-64E1-4CFC-9CEB-0B97023DB38C}"/>
    <w:embedBold r:id="rId7" w:fontKey="{EDD1E59E-4867-493C-8FA5-C532ED21FD3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CF3F0167-ABF3-406C-8789-AAB037DE182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E1CB6F7D-68FD-4AA2-8A43-9F7D8B4328AC}"/>
    <w:embedItalic r:id="rId10" w:fontKey="{09CE096D-31B6-48C9-8657-D343B5123F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29CAE42A-4F87-419A-AAB4-F7D7F5CBC8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6D1D5" w14:textId="77777777" w:rsidR="00EC1495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F37ADF" w14:textId="77777777" w:rsidR="00A5558C" w:rsidRDefault="00A5558C">
      <w:r>
        <w:separator/>
      </w:r>
    </w:p>
  </w:footnote>
  <w:footnote w:type="continuationSeparator" w:id="0">
    <w:p w14:paraId="6901838C" w14:textId="77777777" w:rsidR="00A5558C" w:rsidRDefault="00A555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B8FC5" w14:textId="77777777" w:rsidR="00EC1495" w:rsidRDefault="00EC149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4A755A1" w14:textId="77777777" w:rsidR="00EC1495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7B43DF"/>
    <w:multiLevelType w:val="multilevel"/>
    <w:tmpl w:val="11DA5C56"/>
    <w:lvl w:ilvl="0">
      <w:start w:val="8"/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942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662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102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822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262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776C3174"/>
    <w:multiLevelType w:val="multilevel"/>
    <w:tmpl w:val="B42A2DC4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num w:numId="1" w16cid:durableId="1390878701">
    <w:abstractNumId w:val="1"/>
  </w:num>
  <w:num w:numId="2" w16cid:durableId="7896653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1495"/>
    <w:rsid w:val="000577AE"/>
    <w:rsid w:val="00A5558C"/>
    <w:rsid w:val="00CC1FDA"/>
    <w:rsid w:val="00EC1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FF136"/>
  <w15:docId w15:val="{2D298AB5-74D9-4C50-AC86-8E950A8B1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MY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rjass.com/index.php/ARJAS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FlW7nVPQK+O+QqAjm7KHWiGUiA==">CgMxLjAyDmguc3lpOXg3YmFqdGphMg5oLmY5cW1uMWVlemMwMjIOaC53ZjF0MHY3djF2M2oyDmguc245cHF1dm9zNjRhMg5oLjk2cDQwcDJ5MWN6OTIOaC5iMHgxeTdsM3FzNjUyDmguNzF4azVhb25wcjNmMg5oLmIweDF5N2wzcXM2NTIOaC5yZDgwNmFobGlndHg4AHIhMWJ5VzN5N042Wk5hWDNrQlljY3M2ZTlCUTI1amRpcFc3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994</Words>
  <Characters>5669</Characters>
  <Application>Microsoft Office Word</Application>
  <DocSecurity>0</DocSecurity>
  <Lines>47</Lines>
  <Paragraphs>13</Paragraphs>
  <ScaleCrop>false</ScaleCrop>
  <Company/>
  <LinksUpToDate>false</LinksUpToDate>
  <CharactersWithSpaces>6650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2025-11-08T08:38:00Z</dcterms:modified>
</cp:coreProperties>
</file>